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E7A" w:rsidRDefault="00A7771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  <w:t>R</w:t>
      </w:r>
      <w:r>
        <w:rPr>
          <w:rFonts w:hint="eastAsia"/>
          <w:b/>
          <w:sz w:val="24"/>
        </w:rPr>
        <w:t>1-2102847</w:t>
      </w:r>
    </w:p>
    <w:p w:rsidR="005B2E7A" w:rsidRDefault="00A77719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2E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E7A" w:rsidRDefault="00A7771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B2E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2E7A" w:rsidRDefault="00A77719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 w:rsidR="005B2E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E7A">
        <w:tc>
          <w:tcPr>
            <w:tcW w:w="142" w:type="dxa"/>
            <w:tcBorders>
              <w:lef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B2E7A" w:rsidRDefault="00A777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:rsidR="005B2E7A" w:rsidRDefault="00A7771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B2E7A" w:rsidRDefault="005B2E7A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5B2E7A" w:rsidRDefault="00A777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B2E7A" w:rsidRDefault="00A777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B2E7A" w:rsidRDefault="00A777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B2E7A" w:rsidRDefault="00A777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</w:pPr>
          </w:p>
        </w:tc>
      </w:tr>
      <w:tr w:rsidR="005B2E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</w:pPr>
          </w:p>
        </w:tc>
      </w:tr>
      <w:tr w:rsidR="005B2E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B2E7A" w:rsidRDefault="00A777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B2E7A">
        <w:tc>
          <w:tcPr>
            <w:tcW w:w="9641" w:type="dxa"/>
            <w:gridSpan w:val="9"/>
          </w:tcPr>
          <w:p w:rsidR="005B2E7A" w:rsidRDefault="005B2E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B2E7A" w:rsidRDefault="005B2E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2E7A">
        <w:tc>
          <w:tcPr>
            <w:tcW w:w="2835" w:type="dxa"/>
          </w:tcPr>
          <w:p w:rsidR="005B2E7A" w:rsidRDefault="00A777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B2E7A" w:rsidRDefault="00A7771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B2E7A" w:rsidRDefault="005B2E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B2E7A" w:rsidRDefault="00A777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B2E7A" w:rsidRDefault="00A77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5B2E7A" w:rsidRDefault="00A777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B2E7A" w:rsidRDefault="00A77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B2E7A" w:rsidRDefault="00A7771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B2E7A" w:rsidRDefault="005B2E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B2E7A" w:rsidRDefault="005B2E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2E7A">
        <w:tc>
          <w:tcPr>
            <w:tcW w:w="9640" w:type="dxa"/>
            <w:gridSpan w:val="11"/>
          </w:tcPr>
          <w:p w:rsidR="005B2E7A" w:rsidRDefault="005B2E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E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B2E7A" w:rsidRDefault="00A77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2E7A" w:rsidRDefault="00A77719">
            <w:pPr>
              <w:pStyle w:val="CRCoverPage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PDSCH dropping for multicast in special subframe</w:t>
            </w:r>
          </w:p>
        </w:tc>
      </w:tr>
      <w:tr w:rsidR="005B2E7A">
        <w:tc>
          <w:tcPr>
            <w:tcW w:w="1843" w:type="dxa"/>
            <w:tcBorders>
              <w:lef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E7A">
        <w:tc>
          <w:tcPr>
            <w:tcW w:w="1843" w:type="dxa"/>
            <w:tcBorders>
              <w:left w:val="single" w:sz="4" w:space="0" w:color="auto"/>
            </w:tcBorders>
          </w:tcPr>
          <w:p w:rsidR="005B2E7A" w:rsidRDefault="00A77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B2E7A" w:rsidRDefault="00A777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Sanechips</w:t>
            </w:r>
          </w:p>
        </w:tc>
      </w:tr>
      <w:tr w:rsidR="005B2E7A">
        <w:tc>
          <w:tcPr>
            <w:tcW w:w="1843" w:type="dxa"/>
            <w:tcBorders>
              <w:left w:val="single" w:sz="4" w:space="0" w:color="auto"/>
            </w:tcBorders>
          </w:tcPr>
          <w:p w:rsidR="005B2E7A" w:rsidRDefault="00A77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B2E7A" w:rsidRDefault="00A77719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5B2E7A">
        <w:tc>
          <w:tcPr>
            <w:tcW w:w="1843" w:type="dxa"/>
            <w:tcBorders>
              <w:lef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E7A">
        <w:tc>
          <w:tcPr>
            <w:tcW w:w="1843" w:type="dxa"/>
            <w:tcBorders>
              <w:left w:val="single" w:sz="4" w:space="0" w:color="auto"/>
            </w:tcBorders>
          </w:tcPr>
          <w:p w:rsidR="005B2E7A" w:rsidRDefault="00A77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B2E7A" w:rsidRDefault="00A7771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:rsidR="005B2E7A" w:rsidRDefault="005B2E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B2E7A" w:rsidRDefault="00A7771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B2E7A" w:rsidRDefault="00A777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5B2E7A">
        <w:tc>
          <w:tcPr>
            <w:tcW w:w="1843" w:type="dxa"/>
            <w:tcBorders>
              <w:lef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B2E7A" w:rsidRDefault="005B2E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B2E7A" w:rsidRDefault="005B2E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B2E7A" w:rsidRDefault="005B2E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E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B2E7A" w:rsidRDefault="00A77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B2E7A" w:rsidRDefault="00A777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B2E7A" w:rsidRDefault="005B2E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B2E7A" w:rsidRDefault="00A7771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B2E7A" w:rsidRDefault="00A777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:rsidR="005B2E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B2E7A" w:rsidRDefault="00A777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B2E7A" w:rsidRDefault="00A7771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B2E7A" w:rsidRDefault="00A777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 w:rsidR="005B2E7A">
        <w:tc>
          <w:tcPr>
            <w:tcW w:w="1843" w:type="dxa"/>
          </w:tcPr>
          <w:p w:rsidR="005B2E7A" w:rsidRDefault="005B2E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B2E7A" w:rsidRDefault="005B2E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E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B2E7A" w:rsidRDefault="00A7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2E7A" w:rsidRDefault="00A77719" w:rsidP="00920E8D">
            <w:pPr>
              <w:spacing w:afterLines="50" w:after="120"/>
              <w:jc w:val="both"/>
              <w:rPr>
                <w:rFonts w:ascii="Arial" w:hAnsi="Arial" w:hint="eastAsia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Multicast is supported for TDD and FDD in Release 14. For frame structure type 2,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MPDCCH and PDSCH</w:t>
            </w:r>
            <w:r>
              <w:rPr>
                <w:rFonts w:ascii="Arial" w:hAnsi="Arial"/>
                <w:lang w:val="en-US" w:eastAsia="zh-CN"/>
              </w:rPr>
              <w:t xml:space="preserve"> transmission</w:t>
            </w:r>
            <w:r>
              <w:rPr>
                <w:rFonts w:ascii="Arial" w:hAnsi="Arial" w:hint="eastAsia"/>
                <w:lang w:val="en-US" w:eastAsia="zh-CN"/>
              </w:rPr>
              <w:t xml:space="preserve"> in </w:t>
            </w:r>
            <w:r>
              <w:rPr>
                <w:rFonts w:ascii="Arial" w:hAnsi="Arial"/>
                <w:lang w:val="en-US" w:eastAsia="zh-CN"/>
              </w:rPr>
              <w:t xml:space="preserve">the </w:t>
            </w:r>
            <w:r>
              <w:rPr>
                <w:rFonts w:ascii="Arial" w:hAnsi="Arial" w:hint="eastAsia"/>
                <w:lang w:val="en-US" w:eastAsia="zh-CN"/>
              </w:rPr>
              <w:t>special subframe</w:t>
            </w:r>
            <w:r>
              <w:rPr>
                <w:rFonts w:ascii="Arial" w:hAnsi="Arial"/>
                <w:lang w:val="en-US" w:eastAsia="zh-CN"/>
              </w:rPr>
              <w:t xml:space="preserve"> would be dropped</w:t>
            </w:r>
            <w:r>
              <w:rPr>
                <w:rFonts w:ascii="Arial" w:hAnsi="Arial" w:hint="eastAsia"/>
                <w:lang w:val="en-US" w:eastAsia="zh-CN"/>
              </w:rPr>
              <w:t xml:space="preserve">. </w:t>
            </w:r>
            <w:r>
              <w:rPr>
                <w:rFonts w:ascii="Arial" w:hAnsi="Arial"/>
                <w:lang w:val="en-US" w:eastAsia="zh-CN"/>
              </w:rPr>
              <w:t>T</w:t>
            </w:r>
            <w:r>
              <w:rPr>
                <w:rFonts w:ascii="Arial" w:hAnsi="Arial" w:hint="eastAsia"/>
                <w:lang w:val="en-US" w:eastAsia="zh-CN"/>
              </w:rPr>
              <w:t xml:space="preserve">he PDSCH </w:t>
            </w:r>
            <w:r>
              <w:rPr>
                <w:rFonts w:ascii="Arial" w:hAnsi="Arial"/>
                <w:lang w:val="en-US" w:eastAsia="zh-CN"/>
              </w:rPr>
              <w:t xml:space="preserve">transmission </w:t>
            </w:r>
            <w:r>
              <w:rPr>
                <w:rFonts w:ascii="Arial" w:hAnsi="Arial" w:hint="eastAsia"/>
                <w:lang w:val="en-US" w:eastAsia="zh-CN"/>
              </w:rPr>
              <w:t xml:space="preserve">by a BL/CE UE can also be scheduled from </w:t>
            </w:r>
            <w:r>
              <w:rPr>
                <w:rFonts w:ascii="Arial" w:hAnsi="Arial" w:hint="eastAsia"/>
                <w:lang w:val="en-US" w:eastAsia="zh-CN"/>
              </w:rPr>
              <w:t>Type1A-MPDCCH common search space and Type2A-MPDCCH common search space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  <w:r>
              <w:rPr>
                <w:rFonts w:ascii="Arial" w:hAnsi="Arial" w:hint="eastAsia"/>
                <w:lang w:val="en-US" w:eastAsia="zh-CN"/>
              </w:rPr>
              <w:t xml:space="preserve">However, </w:t>
            </w:r>
            <w:r>
              <w:rPr>
                <w:rFonts w:ascii="Arial" w:hAnsi="Arial"/>
                <w:lang w:val="en-US" w:eastAsia="zh-CN"/>
              </w:rPr>
              <w:t xml:space="preserve">if the PDSCH is </w:t>
            </w:r>
            <w:r>
              <w:rPr>
                <w:rFonts w:ascii="Arial" w:hAnsi="Arial" w:hint="eastAsia"/>
                <w:lang w:val="en-US" w:eastAsia="zh-CN"/>
              </w:rPr>
              <w:t xml:space="preserve">scheduled from Type1A-MPDCCH common search space or Type2A-MPDCCH common </w:t>
            </w:r>
            <w:r>
              <w:rPr>
                <w:rFonts w:ascii="Arial" w:hAnsi="Arial"/>
                <w:lang w:val="en-US" w:eastAsia="zh-CN"/>
              </w:rPr>
              <w:t xml:space="preserve">search, corresponding </w:t>
            </w:r>
            <w:r>
              <w:rPr>
                <w:rFonts w:ascii="Arial" w:hAnsi="Arial" w:hint="eastAsia"/>
                <w:lang w:val="en-US" w:eastAsia="zh-CN"/>
              </w:rPr>
              <w:t>PDSCH dropping in the special subframe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bookmarkStart w:id="2" w:name="_GoBack"/>
            <w:r>
              <w:rPr>
                <w:rFonts w:ascii="Arial" w:hAnsi="Arial"/>
                <w:lang w:val="en-US" w:eastAsia="zh-CN"/>
              </w:rPr>
              <w:t>is</w:t>
            </w:r>
            <w:r>
              <w:rPr>
                <w:rFonts w:ascii="Arial" w:hAnsi="Arial" w:hint="eastAsia"/>
                <w:lang w:val="en-US" w:eastAsia="zh-CN"/>
              </w:rPr>
              <w:t xml:space="preserve"> missed in t</w:t>
            </w:r>
            <w:bookmarkEnd w:id="2"/>
            <w:r>
              <w:rPr>
                <w:rFonts w:ascii="Arial" w:hAnsi="Arial" w:hint="eastAsia"/>
                <w:lang w:val="en-US" w:eastAsia="zh-CN"/>
              </w:rPr>
              <w:t>he spec.</w:t>
            </w:r>
          </w:p>
        </w:tc>
      </w:tr>
      <w:tr w:rsidR="005B2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5B2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2E7A" w:rsidRDefault="00A7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B2E7A" w:rsidRDefault="00A77719" w:rsidP="00920E8D">
            <w:pPr>
              <w:pStyle w:val="CRCoverPage"/>
              <w:spacing w:afterLines="50"/>
              <w:ind w:left="57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description that a BL/CE UE shall assume PDSCH is dropped in a special subframe whe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the PDSCH</w:t>
            </w:r>
            <w:r>
              <w:rPr>
                <w:lang w:val="en-US" w:eastAsia="zh-CN"/>
              </w:rPr>
              <w:t xml:space="preserve"> is</w:t>
            </w:r>
            <w:r>
              <w:rPr>
                <w:rFonts w:hint="eastAsia"/>
                <w:lang w:val="en-US" w:eastAsia="zh-CN"/>
              </w:rPr>
              <w:t xml:space="preserve"> scheduled from Type1A-MPDCCH common search space </w:t>
            </w:r>
            <w:r>
              <w:rPr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 xml:space="preserve"> Type2A-MPDCCH common search space.</w:t>
            </w:r>
          </w:p>
        </w:tc>
      </w:tr>
      <w:tr w:rsidR="005B2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5B2E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B2E7A" w:rsidRDefault="00A7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2E7A" w:rsidRDefault="00A77719" w:rsidP="00920E8D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PDSCH transmission behavior, </w:t>
            </w:r>
            <w:r>
              <w:rPr>
                <w:lang w:val="en-US" w:eastAsia="zh-CN"/>
              </w:rPr>
              <w:t xml:space="preserve">when </w:t>
            </w:r>
            <w:r>
              <w:rPr>
                <w:rFonts w:hint="eastAsia"/>
                <w:lang w:val="en-US" w:eastAsia="zh-CN"/>
              </w:rPr>
              <w:t xml:space="preserve">PDSCH </w:t>
            </w:r>
            <w:r>
              <w:rPr>
                <w:lang w:val="en-US"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scheduled from Type1A-MPDCCH common search space and Type2A-MPDCCH common search space in special subframe, is not consistent with that scheduled from other search spaces.</w:t>
            </w:r>
          </w:p>
        </w:tc>
      </w:tr>
      <w:tr w:rsidR="005B2E7A">
        <w:tc>
          <w:tcPr>
            <w:tcW w:w="2694" w:type="dxa"/>
            <w:gridSpan w:val="2"/>
          </w:tcPr>
          <w:p w:rsidR="005B2E7A" w:rsidRDefault="005B2E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B2E7A" w:rsidRDefault="005B2E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E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B2E7A" w:rsidRDefault="00A7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2E7A" w:rsidRDefault="00A77719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7.1.7</w:t>
            </w:r>
          </w:p>
        </w:tc>
      </w:tr>
      <w:tr w:rsidR="005B2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2E7A" w:rsidRDefault="005B2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E7A" w:rsidRDefault="00A77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B2E7A" w:rsidRDefault="00A77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B2E7A" w:rsidRDefault="005B2E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B2E7A" w:rsidRDefault="005B2E7A">
            <w:pPr>
              <w:pStyle w:val="CRCoverPage"/>
              <w:spacing w:after="0"/>
              <w:ind w:left="99"/>
            </w:pPr>
          </w:p>
        </w:tc>
      </w:tr>
      <w:tr w:rsidR="005B2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2E7A" w:rsidRDefault="00A7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2E7A" w:rsidRDefault="005B2E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2E7A" w:rsidRDefault="00A77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B2E7A" w:rsidRDefault="00A7771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2E7A" w:rsidRDefault="005B2E7A">
            <w:pPr>
              <w:pStyle w:val="CRCoverPage"/>
              <w:spacing w:after="0"/>
              <w:ind w:left="99"/>
            </w:pPr>
          </w:p>
        </w:tc>
      </w:tr>
      <w:tr w:rsidR="005B2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2E7A" w:rsidRDefault="00A777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2E7A" w:rsidRDefault="005B2E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2E7A" w:rsidRDefault="00A77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B2E7A" w:rsidRDefault="00A7771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2E7A" w:rsidRDefault="00A77719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5B2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2E7A" w:rsidRDefault="00A777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2E7A" w:rsidRDefault="005B2E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2E7A" w:rsidRDefault="00A77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B2E7A" w:rsidRDefault="00A7771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2E7A" w:rsidRDefault="00A77719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5B2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2E7A" w:rsidRDefault="005B2E7A">
            <w:pPr>
              <w:pStyle w:val="CRCoverPage"/>
              <w:spacing w:after="0"/>
            </w:pPr>
          </w:p>
        </w:tc>
      </w:tr>
      <w:tr w:rsidR="005B2E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B2E7A" w:rsidRDefault="00A7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2E7A" w:rsidRDefault="005B2E7A">
            <w:pPr>
              <w:pStyle w:val="CRCoverPage"/>
              <w:spacing w:after="0"/>
              <w:ind w:left="100"/>
            </w:pPr>
          </w:p>
        </w:tc>
      </w:tr>
      <w:tr w:rsidR="005B2E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2E7A" w:rsidRDefault="005B2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B2E7A" w:rsidRDefault="005B2E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B2E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E7A" w:rsidRDefault="00A7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2E7A" w:rsidRDefault="005B2E7A">
            <w:pPr>
              <w:pStyle w:val="CRCoverPage"/>
              <w:spacing w:after="0"/>
              <w:ind w:left="100"/>
            </w:pPr>
          </w:p>
        </w:tc>
      </w:tr>
    </w:tbl>
    <w:p w:rsidR="005B2E7A" w:rsidRDefault="005B2E7A">
      <w:pPr>
        <w:pStyle w:val="CRCoverPage"/>
        <w:spacing w:after="0"/>
        <w:rPr>
          <w:sz w:val="8"/>
          <w:szCs w:val="8"/>
        </w:rPr>
      </w:pPr>
    </w:p>
    <w:p w:rsidR="005B2E7A" w:rsidRDefault="005B2E7A">
      <w:pPr>
        <w:sectPr w:rsidR="005B2E7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B2E7A" w:rsidRDefault="005B2E7A">
      <w:bookmarkStart w:id="3" w:name="_Toc415085458"/>
    </w:p>
    <w:p w:rsidR="005B2E7A" w:rsidRDefault="00A77719">
      <w:pPr>
        <w:pStyle w:val="3"/>
      </w:pPr>
      <w:r>
        <w:t>7.1.7</w:t>
      </w:r>
      <w:r>
        <w:tab/>
      </w:r>
      <w:r>
        <w:rPr>
          <w:lang w:val="en-US"/>
        </w:rPr>
        <w:t xml:space="preserve">Modulation </w:t>
      </w:r>
      <w:r>
        <w:t>order and transport block size determination</w:t>
      </w:r>
      <w:bookmarkEnd w:id="3"/>
      <w:r>
        <w:t xml:space="preserve"> </w:t>
      </w:r>
    </w:p>
    <w:p w:rsidR="005B2E7A" w:rsidRDefault="00A77719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:rsidR="005B2E7A" w:rsidRDefault="00A77719">
      <w:r>
        <w:t>For frame structure type 2, a BL/CE UE shall assume PDSCH is dropped in a special subframe considered as BL/CE DL subframe acco</w:t>
      </w:r>
      <w:r>
        <w:t>rding to Clause 6.8B.1 of [3] in the following cases</w:t>
      </w:r>
    </w:p>
    <w:p w:rsidR="005B2E7A" w:rsidRDefault="00A77719">
      <w:pPr>
        <w:pStyle w:val="B1"/>
      </w:pPr>
      <w:r>
        <w:t>-</w:t>
      </w:r>
      <w:r>
        <w:tab/>
        <w:t>for PDSCH scheduled from UE-specific search space, Type0-</w:t>
      </w:r>
      <w:r>
        <w:rPr>
          <w:rFonts w:eastAsia="MS Mincho" w:hint="eastAsia"/>
          <w:lang w:eastAsia="ja-JP"/>
        </w:rPr>
        <w:t xml:space="preserve">MPDCCH </w:t>
      </w:r>
      <w:r>
        <w:t>common search space, Type1-</w:t>
      </w:r>
      <w:r>
        <w:rPr>
          <w:rFonts w:eastAsia="MS Mincho" w:hint="eastAsia"/>
          <w:lang w:eastAsia="ja-JP"/>
        </w:rPr>
        <w:t xml:space="preserve">MPDCCH </w:t>
      </w:r>
      <w:r>
        <w:t>common search space</w:t>
      </w:r>
      <w:ins w:id="4" w:author="ZTE" w:date="2021-03-18T19:39:00Z">
        <w:r>
          <w:rPr>
            <w:rFonts w:hint="eastAsia"/>
            <w:lang w:val="en-US" w:eastAsia="zh-CN"/>
          </w:rPr>
          <w:t xml:space="preserve">, </w:t>
        </w:r>
        <w:r>
          <w:rPr>
            <w:lang w:val="en-US"/>
          </w:rPr>
          <w:t>Type1A-MPDCCH common search space</w:t>
        </w:r>
        <w:r>
          <w:rPr>
            <w:rFonts w:hint="eastAsia"/>
            <w:lang w:val="en-US" w:eastAsia="zh-CN"/>
          </w:rPr>
          <w:t>,</w:t>
        </w:r>
      </w:ins>
      <w:del w:id="5" w:author="ZTE" w:date="2021-03-18T19:39:00Z">
        <w:r>
          <w:delText xml:space="preserve"> or</w:delText>
        </w:r>
      </w:del>
      <w:r>
        <w:t xml:space="preserve"> Type2-</w:t>
      </w:r>
      <w:r>
        <w:rPr>
          <w:rFonts w:eastAsia="MS Mincho" w:hint="eastAsia"/>
          <w:lang w:eastAsia="ja-JP"/>
        </w:rPr>
        <w:t xml:space="preserve">MPDCCH </w:t>
      </w:r>
      <w:r>
        <w:t>common search space</w:t>
      </w:r>
      <w:ins w:id="6" w:author="ZTE" w:date="2021-03-18T19:40:00Z">
        <w:r>
          <w:rPr>
            <w:rFonts w:hint="eastAsia"/>
            <w:lang w:val="en-US" w:eastAsia="zh-CN"/>
          </w:rPr>
          <w:t xml:space="preserve"> or </w:t>
        </w:r>
        <w:r>
          <w:rPr>
            <w:lang w:val="en-US"/>
          </w:rPr>
          <w:t>Type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A-MPDCCH common search space</w:t>
        </w:r>
      </w:ins>
      <w:r>
        <w:t>, if an MPDCCH belonging to the corresponding search space is dropped in the special subframe according to clause 9.1.5.</w:t>
      </w:r>
    </w:p>
    <w:p w:rsidR="005B2E7A" w:rsidRDefault="00A77719">
      <w:pPr>
        <w:pStyle w:val="B1"/>
      </w:pPr>
      <w:r>
        <w:t>-</w:t>
      </w:r>
      <w:r>
        <w:tab/>
        <w:t>if PDSCH carries SI messages.</w:t>
      </w:r>
    </w:p>
    <w:p w:rsidR="005B2E7A" w:rsidRDefault="00A77719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:rsidR="005B2E7A" w:rsidRDefault="005B2E7A">
      <w:pPr>
        <w:jc w:val="both"/>
        <w:rPr>
          <w:rFonts w:eastAsia="MS Mincho"/>
          <w:lang w:val="en-US" w:eastAsia="zh-CN"/>
        </w:rPr>
      </w:pPr>
    </w:p>
    <w:sectPr w:rsidR="005B2E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719" w:rsidRDefault="00A77719">
      <w:pPr>
        <w:spacing w:after="0"/>
      </w:pPr>
      <w:r>
        <w:separator/>
      </w:r>
    </w:p>
  </w:endnote>
  <w:endnote w:type="continuationSeparator" w:id="0">
    <w:p w:rsidR="00A77719" w:rsidRDefault="00A777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719" w:rsidRDefault="00A77719">
      <w:pPr>
        <w:spacing w:after="0"/>
      </w:pPr>
      <w:r>
        <w:separator/>
      </w:r>
    </w:p>
  </w:footnote>
  <w:footnote w:type="continuationSeparator" w:id="0">
    <w:p w:rsidR="00A77719" w:rsidRDefault="00A777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E7A" w:rsidRDefault="00A7771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E7A" w:rsidRDefault="005B2E7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E7A" w:rsidRDefault="00A7771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E7A" w:rsidRDefault="005B2E7A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17C85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2251"/>
    <w:rsid w:val="0052518E"/>
    <w:rsid w:val="00544668"/>
    <w:rsid w:val="00547111"/>
    <w:rsid w:val="0055355E"/>
    <w:rsid w:val="00567A5D"/>
    <w:rsid w:val="00592D74"/>
    <w:rsid w:val="005A3D75"/>
    <w:rsid w:val="005B17EC"/>
    <w:rsid w:val="005B2E7A"/>
    <w:rsid w:val="005E2C44"/>
    <w:rsid w:val="005E5182"/>
    <w:rsid w:val="00605C99"/>
    <w:rsid w:val="00606EDE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70A2D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8D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719"/>
    <w:rsid w:val="00A77A07"/>
    <w:rsid w:val="00A82EFA"/>
    <w:rsid w:val="00A87117"/>
    <w:rsid w:val="00A906A9"/>
    <w:rsid w:val="00A9210B"/>
    <w:rsid w:val="00AA2CBC"/>
    <w:rsid w:val="00AB56D9"/>
    <w:rsid w:val="00AB78FB"/>
    <w:rsid w:val="00AC52A8"/>
    <w:rsid w:val="00AC5820"/>
    <w:rsid w:val="00AD1CD8"/>
    <w:rsid w:val="00B05EE9"/>
    <w:rsid w:val="00B258BB"/>
    <w:rsid w:val="00B45211"/>
    <w:rsid w:val="00B4561C"/>
    <w:rsid w:val="00B61D2E"/>
    <w:rsid w:val="00B67B97"/>
    <w:rsid w:val="00B84DA3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BE3A0C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0C1A"/>
    <w:rsid w:val="00D966EC"/>
    <w:rsid w:val="00D967EB"/>
    <w:rsid w:val="00DA0831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44046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3533183"/>
    <w:rsid w:val="03E02887"/>
    <w:rsid w:val="04185B5E"/>
    <w:rsid w:val="07B64C19"/>
    <w:rsid w:val="07C7577D"/>
    <w:rsid w:val="082C4BA4"/>
    <w:rsid w:val="0ADD1443"/>
    <w:rsid w:val="14A3785E"/>
    <w:rsid w:val="153C34B1"/>
    <w:rsid w:val="18344A1C"/>
    <w:rsid w:val="18396EF3"/>
    <w:rsid w:val="189F4922"/>
    <w:rsid w:val="18D95CC8"/>
    <w:rsid w:val="18E17956"/>
    <w:rsid w:val="1A401F7A"/>
    <w:rsid w:val="1B1231FE"/>
    <w:rsid w:val="1CA25F4B"/>
    <w:rsid w:val="1FC81DC7"/>
    <w:rsid w:val="21AB21C1"/>
    <w:rsid w:val="24850186"/>
    <w:rsid w:val="273D3191"/>
    <w:rsid w:val="2E636385"/>
    <w:rsid w:val="2F064C74"/>
    <w:rsid w:val="34047CC9"/>
    <w:rsid w:val="3419091F"/>
    <w:rsid w:val="35AE478F"/>
    <w:rsid w:val="35DF6B16"/>
    <w:rsid w:val="360F5E80"/>
    <w:rsid w:val="38292942"/>
    <w:rsid w:val="394127F0"/>
    <w:rsid w:val="3B035B9F"/>
    <w:rsid w:val="3DEF5D8C"/>
    <w:rsid w:val="3E3903E0"/>
    <w:rsid w:val="47903455"/>
    <w:rsid w:val="4A0F182A"/>
    <w:rsid w:val="4AA0453F"/>
    <w:rsid w:val="4FC3639F"/>
    <w:rsid w:val="502A1F59"/>
    <w:rsid w:val="50B1799B"/>
    <w:rsid w:val="53116FFA"/>
    <w:rsid w:val="5395494C"/>
    <w:rsid w:val="54A63198"/>
    <w:rsid w:val="55CA3283"/>
    <w:rsid w:val="57F41368"/>
    <w:rsid w:val="59994A04"/>
    <w:rsid w:val="5B584505"/>
    <w:rsid w:val="5D33157C"/>
    <w:rsid w:val="5D4075C8"/>
    <w:rsid w:val="5F0D04C3"/>
    <w:rsid w:val="628456FD"/>
    <w:rsid w:val="62F85E18"/>
    <w:rsid w:val="649467FC"/>
    <w:rsid w:val="64AD262D"/>
    <w:rsid w:val="652D358C"/>
    <w:rsid w:val="6D9903F3"/>
    <w:rsid w:val="7123593C"/>
    <w:rsid w:val="75331A12"/>
    <w:rsid w:val="7896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0B01033-1FDA-463D-B1F5-249E478AD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D10E49-562E-4F05-8EF5-50CE0C0B4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2667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2411-12-31T00:00:00Z</cp:lastPrinted>
  <dcterms:created xsi:type="dcterms:W3CDTF">2021-04-06T07:21:00Z</dcterms:created>
  <dcterms:modified xsi:type="dcterms:W3CDTF">2021-04-06T07:21:00Z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